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F0" w:rsidRDefault="009A3DB5" w:rsidP="00544652">
      <w:pPr>
        <w:jc w:val="center"/>
        <w:rPr>
          <w:sz w:val="40"/>
          <w:szCs w:val="40"/>
        </w:rPr>
      </w:pPr>
      <w:bookmarkStart w:id="0" w:name="_GoBack"/>
      <w:bookmarkEnd w:id="0"/>
      <w:r w:rsidRPr="009A3DB5">
        <w:rPr>
          <w:noProof/>
          <w:sz w:val="40"/>
          <w:szCs w:val="40"/>
        </w:rPr>
        <w:drawing>
          <wp:inline distT="0" distB="0" distL="0" distR="0">
            <wp:extent cx="5274945" cy="990772"/>
            <wp:effectExtent l="19050" t="0" r="1905"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274945" cy="990772"/>
                    </a:xfrm>
                    <a:prstGeom prst="rect">
                      <a:avLst/>
                    </a:prstGeom>
                    <a:noFill/>
                    <a:ln w="9525">
                      <a:noFill/>
                      <a:miter lim="800000"/>
                      <a:headEnd/>
                      <a:tailEnd/>
                    </a:ln>
                  </pic:spPr>
                </pic:pic>
              </a:graphicData>
            </a:graphic>
          </wp:inline>
        </w:drawing>
      </w:r>
    </w:p>
    <w:p w:rsidR="00544652" w:rsidRPr="009D13FB" w:rsidRDefault="00092CC6" w:rsidP="00544652">
      <w:pPr>
        <w:jc w:val="center"/>
        <w:rPr>
          <w:sz w:val="40"/>
          <w:szCs w:val="40"/>
        </w:rPr>
      </w:pPr>
      <w:r>
        <w:rPr>
          <w:sz w:val="40"/>
          <w:szCs w:val="40"/>
        </w:rPr>
        <w:t>Record Retention and Destruction</w:t>
      </w:r>
      <w:r w:rsidR="00F80881">
        <w:rPr>
          <w:sz w:val="40"/>
          <w:szCs w:val="40"/>
        </w:rPr>
        <w:t xml:space="preserve"> </w:t>
      </w:r>
      <w:r w:rsidR="00BC4710">
        <w:rPr>
          <w:sz w:val="40"/>
          <w:szCs w:val="40"/>
        </w:rPr>
        <w:t>Policy</w:t>
      </w:r>
    </w:p>
    <w:p w:rsidR="00544652" w:rsidRPr="00F54512" w:rsidRDefault="00544652" w:rsidP="00F54512">
      <w:pPr>
        <w:spacing w:after="0"/>
        <w:jc w:val="center"/>
        <w:rPr>
          <w:i/>
        </w:rPr>
      </w:pPr>
    </w:p>
    <w:p w:rsidR="00544652" w:rsidRPr="009D13FB" w:rsidRDefault="00544652" w:rsidP="00544652">
      <w:pPr>
        <w:rPr>
          <w:b/>
          <w:sz w:val="28"/>
          <w:szCs w:val="28"/>
        </w:rPr>
      </w:pPr>
      <w:r w:rsidRPr="009D13FB">
        <w:rPr>
          <w:b/>
          <w:sz w:val="28"/>
          <w:szCs w:val="28"/>
        </w:rPr>
        <w:t>Scope</w:t>
      </w:r>
    </w:p>
    <w:p w:rsidR="006F5AE3" w:rsidRPr="009D13FB" w:rsidRDefault="006F5AE3" w:rsidP="00CA416D">
      <w:pPr>
        <w:spacing w:after="120"/>
        <w:rPr>
          <w:rFonts w:cs="Arial"/>
        </w:rPr>
      </w:pPr>
      <w:r w:rsidRPr="009D13FB">
        <w:rPr>
          <w:rFonts w:ascii="Calibri" w:eastAsia="Calibri" w:hAnsi="Calibri" w:cs="Times New Roman"/>
        </w:rPr>
        <w:t xml:space="preserve">This Policy </w:t>
      </w:r>
      <w:r w:rsidR="005C5FCC">
        <w:rPr>
          <w:rFonts w:ascii="Calibri" w:eastAsia="Calibri" w:hAnsi="Calibri" w:cs="Times New Roman"/>
        </w:rPr>
        <w:t>applies</w:t>
      </w:r>
      <w:r w:rsidR="00B62CB7">
        <w:rPr>
          <w:rFonts w:ascii="Calibri" w:eastAsia="Calibri" w:hAnsi="Calibri" w:cs="Times New Roman"/>
        </w:rPr>
        <w:t xml:space="preserve"> to Board members, employees, contractors and volunteers with regard</w:t>
      </w:r>
      <w:r w:rsidR="005C5FCC">
        <w:rPr>
          <w:rFonts w:ascii="Calibri" w:eastAsia="Calibri" w:hAnsi="Calibri" w:cs="Times New Roman"/>
        </w:rPr>
        <w:t xml:space="preserve"> to </w:t>
      </w:r>
      <w:r w:rsidR="00B62CB7">
        <w:rPr>
          <w:rFonts w:ascii="Calibri" w:eastAsia="Calibri" w:hAnsi="Calibri" w:cs="Times New Roman"/>
        </w:rPr>
        <w:t>the records identified in the table on page 2 of this policy.</w:t>
      </w:r>
    </w:p>
    <w:p w:rsidR="00544652" w:rsidRPr="009D13FB" w:rsidRDefault="00544652" w:rsidP="00CA416D">
      <w:pPr>
        <w:spacing w:before="240"/>
        <w:rPr>
          <w:rFonts w:cs="Arial"/>
        </w:rPr>
      </w:pPr>
      <w:r w:rsidRPr="009D13FB">
        <w:rPr>
          <w:b/>
          <w:sz w:val="28"/>
          <w:szCs w:val="28"/>
        </w:rPr>
        <w:t>Background</w:t>
      </w:r>
    </w:p>
    <w:p w:rsidR="008A0483" w:rsidRPr="008A0483" w:rsidRDefault="008A0483" w:rsidP="00CA416D">
      <w:pPr>
        <w:spacing w:after="120"/>
        <w:rPr>
          <w:rFonts w:ascii="Calibri" w:hAnsi="Calibri"/>
          <w:b/>
          <w:sz w:val="28"/>
          <w:szCs w:val="28"/>
        </w:rPr>
      </w:pPr>
      <w:r>
        <w:rPr>
          <w:rFonts w:ascii="Calibri" w:hAnsi="Calibri" w:cs="Arial"/>
        </w:rPr>
        <w:t>The Consortium</w:t>
      </w:r>
      <w:r w:rsidR="00FC2F3A">
        <w:rPr>
          <w:rFonts w:ascii="Calibri" w:hAnsi="Calibri" w:cs="Arial"/>
        </w:rPr>
        <w:t xml:space="preserve"> takes seriously its obligations to preserve certain records and documents</w:t>
      </w:r>
      <w:r w:rsidR="005C5FCC">
        <w:rPr>
          <w:rFonts w:ascii="Calibri" w:hAnsi="Calibri" w:cs="Arial"/>
        </w:rPr>
        <w:t>.</w:t>
      </w:r>
      <w:r w:rsidR="001577F0">
        <w:rPr>
          <w:rFonts w:ascii="Calibri" w:hAnsi="Calibri" w:cs="Arial"/>
        </w:rPr>
        <w:t xml:space="preserve"> </w:t>
      </w:r>
      <w:r w:rsidR="001577F0" w:rsidRPr="008A0483">
        <w:rPr>
          <w:rFonts w:ascii="Calibri" w:hAnsi="Calibri" w:cs="Arial"/>
        </w:rPr>
        <w:t>The object</w:t>
      </w:r>
      <w:r w:rsidR="001577F0">
        <w:rPr>
          <w:rFonts w:ascii="Calibri" w:hAnsi="Calibri" w:cs="Arial"/>
        </w:rPr>
        <w:t xml:space="preserve">ive of this policy is to </w:t>
      </w:r>
      <w:r w:rsidR="004D2138">
        <w:rPr>
          <w:rFonts w:ascii="Calibri" w:hAnsi="Calibri" w:cs="Arial"/>
        </w:rPr>
        <w:t>identify</w:t>
      </w:r>
      <w:r w:rsidR="00FC2F3A">
        <w:rPr>
          <w:rFonts w:ascii="Calibri" w:hAnsi="Calibri" w:cs="Arial"/>
        </w:rPr>
        <w:t xml:space="preserve"> </w:t>
      </w:r>
      <w:r w:rsidR="004D2138">
        <w:rPr>
          <w:rFonts w:ascii="Calibri" w:hAnsi="Calibri" w:cs="Arial"/>
        </w:rPr>
        <w:t xml:space="preserve">the </w:t>
      </w:r>
      <w:r w:rsidR="00FC2F3A">
        <w:rPr>
          <w:rFonts w:ascii="Calibri" w:hAnsi="Calibri" w:cs="Arial"/>
        </w:rPr>
        <w:t>types of records and documents to be retained</w:t>
      </w:r>
      <w:r w:rsidR="00D136EC">
        <w:rPr>
          <w:rFonts w:ascii="Calibri" w:hAnsi="Calibri" w:cs="Arial"/>
        </w:rPr>
        <w:t xml:space="preserve"> and the retention period. </w:t>
      </w:r>
      <w:r w:rsidR="009A4F06">
        <w:rPr>
          <w:rFonts w:ascii="Calibri" w:hAnsi="Calibri" w:cs="Arial"/>
        </w:rPr>
        <w:t xml:space="preserve">The policy is also </w:t>
      </w:r>
      <w:r w:rsidR="00D136EC">
        <w:rPr>
          <w:rFonts w:ascii="Calibri" w:hAnsi="Calibri" w:cs="Arial"/>
        </w:rPr>
        <w:t>intended to</w:t>
      </w:r>
      <w:r w:rsidR="004D2138">
        <w:rPr>
          <w:rFonts w:ascii="Calibri" w:hAnsi="Calibri" w:cs="Arial"/>
        </w:rPr>
        <w:t xml:space="preserve"> help ensure that records are not </w:t>
      </w:r>
      <w:r w:rsidR="009A4F06">
        <w:rPr>
          <w:rFonts w:ascii="Calibri" w:hAnsi="Calibri" w:cs="Arial"/>
        </w:rPr>
        <w:t xml:space="preserve">accidentally or </w:t>
      </w:r>
      <w:r w:rsidR="004D2138">
        <w:rPr>
          <w:rFonts w:ascii="Calibri" w:hAnsi="Calibri" w:cs="Arial"/>
        </w:rPr>
        <w:t>innocently</w:t>
      </w:r>
      <w:r w:rsidR="009A4F06">
        <w:rPr>
          <w:rFonts w:ascii="Calibri" w:hAnsi="Calibri" w:cs="Arial"/>
        </w:rPr>
        <w:t xml:space="preserve"> destroyed.</w:t>
      </w:r>
    </w:p>
    <w:p w:rsidR="009D13FB" w:rsidRPr="009D13FB" w:rsidRDefault="00544652" w:rsidP="00CA416D">
      <w:pPr>
        <w:spacing w:after="240"/>
        <w:rPr>
          <w:rFonts w:cs="Arial"/>
        </w:rPr>
      </w:pPr>
      <w:r w:rsidRPr="009D13FB">
        <w:rPr>
          <w:b/>
          <w:sz w:val="28"/>
          <w:szCs w:val="28"/>
        </w:rPr>
        <w:t>Definitions</w:t>
      </w:r>
    </w:p>
    <w:p w:rsidR="009B04E3" w:rsidRDefault="00FC2F3A" w:rsidP="001577F0">
      <w:pPr>
        <w:spacing w:after="120"/>
      </w:pPr>
      <w:r>
        <w:rPr>
          <w:rFonts w:ascii="Calibri" w:eastAsia="Calibri" w:hAnsi="Calibri" w:cs="Times New Roman"/>
        </w:rPr>
        <w:t>The term</w:t>
      </w:r>
      <w:r w:rsidR="004D2138">
        <w:rPr>
          <w:rFonts w:ascii="Calibri" w:eastAsia="Calibri" w:hAnsi="Calibri" w:cs="Times New Roman"/>
        </w:rPr>
        <w:t>s</w:t>
      </w:r>
      <w:r>
        <w:rPr>
          <w:rFonts w:ascii="Calibri" w:eastAsia="Calibri" w:hAnsi="Calibri" w:cs="Times New Roman"/>
        </w:rPr>
        <w:t xml:space="preserve"> ‘record(s)’ and ‘document(s)’ are used interchangeably in this policy to denote any</w:t>
      </w:r>
      <w:r w:rsidR="004D2138">
        <w:rPr>
          <w:rFonts w:ascii="Calibri" w:eastAsia="Calibri" w:hAnsi="Calibri" w:cs="Times New Roman"/>
        </w:rPr>
        <w:t xml:space="preserve"> of the items that the organization is required to preserve</w:t>
      </w:r>
      <w:r w:rsidR="009B04E3">
        <w:t xml:space="preserve">. </w:t>
      </w:r>
      <w:r w:rsidR="009A4F06">
        <w:t xml:space="preserve"> Such items may include, but are not limited to, paper, electronic files (including e-mails) and voicemail records</w:t>
      </w:r>
      <w:r w:rsidR="00D136EC">
        <w:t xml:space="preserve"> – regardless of where they are stored</w:t>
      </w:r>
      <w:r w:rsidR="009A4F06">
        <w:t>.</w:t>
      </w:r>
    </w:p>
    <w:p w:rsidR="00544652" w:rsidRPr="009D13FB" w:rsidRDefault="00544652" w:rsidP="00CA416D">
      <w:pPr>
        <w:spacing w:before="240"/>
        <w:rPr>
          <w:rFonts w:cs="Arial"/>
        </w:rPr>
      </w:pPr>
      <w:r w:rsidRPr="009D13FB">
        <w:rPr>
          <w:b/>
          <w:sz w:val="28"/>
          <w:szCs w:val="28"/>
        </w:rPr>
        <w:t>Policy</w:t>
      </w:r>
      <w:r w:rsidR="007D2198" w:rsidRPr="009D13FB">
        <w:rPr>
          <w:rFonts w:cs="Arial"/>
        </w:rPr>
        <w:tab/>
      </w:r>
    </w:p>
    <w:p w:rsidR="009A4F06" w:rsidRDefault="009A4F06" w:rsidP="001577F0">
      <w:pPr>
        <w:pStyle w:val="BodyText"/>
        <w:numPr>
          <w:ilvl w:val="0"/>
          <w:numId w:val="6"/>
        </w:numPr>
        <w:spacing w:after="120"/>
        <w:rPr>
          <w:rFonts w:ascii="Calibri" w:hAnsi="Calibri"/>
        </w:rPr>
      </w:pPr>
      <w:r>
        <w:rPr>
          <w:rFonts w:ascii="Calibri" w:hAnsi="Calibri"/>
        </w:rPr>
        <w:t>The Consortium shall retain records for the period of their immediate or current use, unless longer retention is necessary for historical reference or to comply with contractual or legal requirements.</w:t>
      </w:r>
      <w:r w:rsidR="00B62CB7">
        <w:rPr>
          <w:rFonts w:ascii="Calibri" w:hAnsi="Calibri"/>
        </w:rPr>
        <w:t xml:space="preserve"> Paper records not included in the following table will be destroyed after </w:t>
      </w:r>
      <w:r w:rsidR="009028DA">
        <w:rPr>
          <w:rFonts w:ascii="Calibri" w:hAnsi="Calibri"/>
        </w:rPr>
        <w:t xml:space="preserve">a maximum of </w:t>
      </w:r>
      <w:r w:rsidR="00B62CB7">
        <w:rPr>
          <w:rFonts w:ascii="Calibri" w:hAnsi="Calibri"/>
        </w:rPr>
        <w:t>three years. Electronic records will be deleted after one year.</w:t>
      </w:r>
    </w:p>
    <w:p w:rsidR="009A4F06" w:rsidRDefault="00D136EC" w:rsidP="00D136EC">
      <w:pPr>
        <w:numPr>
          <w:ilvl w:val="0"/>
          <w:numId w:val="6"/>
        </w:numPr>
        <w:spacing w:after="120" w:line="240" w:lineRule="auto"/>
        <w:rPr>
          <w:color w:val="000000"/>
        </w:rPr>
      </w:pPr>
      <w:r>
        <w:rPr>
          <w:color w:val="000000"/>
        </w:rPr>
        <w:t>In accordance with 18 U.S.C. Section 1519 and the Sarbanes Oxley Act, t</w:t>
      </w:r>
      <w:r w:rsidR="009A4F06">
        <w:rPr>
          <w:color w:val="000000"/>
        </w:rPr>
        <w:t>he Consortium will not knowingly destroy a document with the intent to obstruct an</w:t>
      </w:r>
      <w:r>
        <w:rPr>
          <w:color w:val="000000"/>
        </w:rPr>
        <w:t>”</w:t>
      </w:r>
      <w:r w:rsidR="009A4F06">
        <w:rPr>
          <w:color w:val="000000"/>
        </w:rPr>
        <w:t xml:space="preserve"> investigation or</w:t>
      </w:r>
      <w:r>
        <w:rPr>
          <w:color w:val="000000"/>
        </w:rPr>
        <w:t xml:space="preserve"> proper administration of any matter within the jurisdiction of any department agency of the United States…or in relation to or contemplation of such matter or case.”</w:t>
      </w:r>
    </w:p>
    <w:p w:rsidR="009A4F06" w:rsidRPr="009A4F06" w:rsidRDefault="009A4F06" w:rsidP="00D136EC">
      <w:pPr>
        <w:numPr>
          <w:ilvl w:val="0"/>
          <w:numId w:val="6"/>
        </w:numPr>
        <w:spacing w:after="120" w:line="240" w:lineRule="auto"/>
        <w:rPr>
          <w:color w:val="000000"/>
        </w:rPr>
      </w:pPr>
      <w:r w:rsidRPr="009A4F06">
        <w:rPr>
          <w:rFonts w:ascii="Calibri" w:eastAsia="Calibri" w:hAnsi="Calibri" w:cs="Times New Roman"/>
          <w:color w:val="000000"/>
        </w:rPr>
        <w:t>Exceptions to the</w:t>
      </w:r>
      <w:r>
        <w:rPr>
          <w:color w:val="000000"/>
        </w:rPr>
        <w:t xml:space="preserve"> </w:t>
      </w:r>
      <w:r w:rsidRPr="009A4F06">
        <w:rPr>
          <w:rFonts w:ascii="Calibri" w:eastAsia="Calibri" w:hAnsi="Calibri" w:cs="Times New Roman"/>
          <w:color w:val="000000"/>
        </w:rPr>
        <w:t>rules and terms for retention may be granted only by the</w:t>
      </w:r>
      <w:r>
        <w:rPr>
          <w:color w:val="000000"/>
        </w:rPr>
        <w:t xml:space="preserve"> Consortium</w:t>
      </w:r>
      <w:r w:rsidRPr="009A4F06">
        <w:rPr>
          <w:rFonts w:ascii="Calibri" w:eastAsia="Calibri" w:hAnsi="Calibri" w:cs="Times New Roman"/>
          <w:color w:val="000000"/>
        </w:rPr>
        <w:t>’s Executive Director or the President of the Board of Directors.</w:t>
      </w:r>
    </w:p>
    <w:p w:rsidR="009028DA" w:rsidRDefault="009028DA">
      <w:pPr>
        <w:rPr>
          <w:rFonts w:ascii="Calibri" w:eastAsia="Times New Roman" w:hAnsi="Calibri" w:cs="Times New Roman"/>
          <w:sz w:val="24"/>
          <w:szCs w:val="24"/>
        </w:rPr>
      </w:pPr>
      <w:r>
        <w:rPr>
          <w:rFonts w:ascii="Calibri" w:hAnsi="Calibri"/>
        </w:rPr>
        <w:br w:type="page"/>
      </w:r>
    </w:p>
    <w:p w:rsidR="001577F0" w:rsidRPr="001577F0" w:rsidRDefault="004D2138" w:rsidP="00745530">
      <w:pPr>
        <w:pStyle w:val="BodyText"/>
        <w:numPr>
          <w:ilvl w:val="0"/>
          <w:numId w:val="6"/>
        </w:numPr>
        <w:rPr>
          <w:rFonts w:ascii="Calibri" w:hAnsi="Calibri"/>
        </w:rPr>
      </w:pPr>
      <w:r>
        <w:rPr>
          <w:rFonts w:ascii="Calibri" w:hAnsi="Calibri"/>
        </w:rPr>
        <w:lastRenderedPageBreak/>
        <w:t>The following table represents the minimum requirements</w:t>
      </w:r>
      <w:r w:rsidR="00745530">
        <w:rPr>
          <w:rFonts w:ascii="Calibri" w:hAnsi="Calibri"/>
        </w:rPr>
        <w:t>:</w:t>
      </w:r>
    </w:p>
    <w:p w:rsidR="00D136EC" w:rsidRDefault="00D136EC" w:rsidP="00745530">
      <w:pPr>
        <w:spacing w:after="0"/>
      </w:pPr>
    </w:p>
    <w:tbl>
      <w:tblPr>
        <w:tblStyle w:val="TableGrid"/>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04"/>
        <w:gridCol w:w="1701"/>
      </w:tblGrid>
      <w:tr w:rsidR="009028DA" w:rsidTr="009028DA">
        <w:tc>
          <w:tcPr>
            <w:tcW w:w="6804" w:type="dxa"/>
            <w:shd w:val="clear" w:color="auto" w:fill="D9D9D9" w:themeFill="background1" w:themeFillShade="D9"/>
          </w:tcPr>
          <w:p w:rsidR="009028DA" w:rsidRPr="00D136EC" w:rsidRDefault="009028DA" w:rsidP="00745530">
            <w:pPr>
              <w:spacing w:before="60" w:after="60"/>
              <w:rPr>
                <w:b/>
              </w:rPr>
            </w:pPr>
            <w:r w:rsidRPr="00D136EC">
              <w:rPr>
                <w:b/>
              </w:rPr>
              <w:t>Item</w:t>
            </w:r>
          </w:p>
        </w:tc>
        <w:tc>
          <w:tcPr>
            <w:tcW w:w="1701" w:type="dxa"/>
            <w:shd w:val="clear" w:color="auto" w:fill="D9D9D9" w:themeFill="background1" w:themeFillShade="D9"/>
          </w:tcPr>
          <w:p w:rsidR="009028DA" w:rsidRPr="00D136EC" w:rsidRDefault="009028DA" w:rsidP="00745530">
            <w:pPr>
              <w:spacing w:before="60" w:after="60"/>
              <w:rPr>
                <w:b/>
              </w:rPr>
            </w:pPr>
            <w:r w:rsidRPr="00D136EC">
              <w:rPr>
                <w:b/>
              </w:rPr>
              <w:t>Retention Period</w:t>
            </w:r>
          </w:p>
        </w:tc>
      </w:tr>
      <w:tr w:rsidR="009028DA" w:rsidTr="009028DA">
        <w:tc>
          <w:tcPr>
            <w:tcW w:w="6804" w:type="dxa"/>
            <w:shd w:val="clear" w:color="auto" w:fill="auto"/>
          </w:tcPr>
          <w:p w:rsidR="009028DA" w:rsidRPr="00D136EC" w:rsidRDefault="009028DA" w:rsidP="00CF0E53">
            <w:pPr>
              <w:spacing w:before="60" w:after="60"/>
            </w:pPr>
            <w:r w:rsidRPr="009028DA">
              <w:rPr>
                <w:b/>
              </w:rPr>
              <w:t>Governance documents</w:t>
            </w:r>
            <w:r>
              <w:t xml:space="preserve"> – Articles of Incorporation, Charter, Bylaws, minutes and other organizational records.</w:t>
            </w:r>
          </w:p>
        </w:tc>
        <w:tc>
          <w:tcPr>
            <w:tcW w:w="1701" w:type="dxa"/>
            <w:vAlign w:val="center"/>
          </w:tcPr>
          <w:p w:rsidR="009028DA" w:rsidRPr="00D136EC" w:rsidRDefault="009028DA" w:rsidP="00CA2E37">
            <w:pPr>
              <w:spacing w:before="60" w:after="60"/>
            </w:pPr>
            <w:r w:rsidRPr="00D136EC">
              <w:t>Permanently</w:t>
            </w:r>
          </w:p>
        </w:tc>
      </w:tr>
      <w:tr w:rsidR="009028DA" w:rsidTr="009028DA">
        <w:tc>
          <w:tcPr>
            <w:tcW w:w="6804" w:type="dxa"/>
            <w:shd w:val="clear" w:color="auto" w:fill="auto"/>
          </w:tcPr>
          <w:p w:rsidR="009028DA" w:rsidRPr="00D136EC" w:rsidRDefault="009028DA" w:rsidP="00745530">
            <w:pPr>
              <w:spacing w:before="60" w:after="60"/>
            </w:pPr>
            <w:r w:rsidRPr="009028DA">
              <w:rPr>
                <w:b/>
              </w:rPr>
              <w:t>Tax records</w:t>
            </w:r>
            <w:r>
              <w:t xml:space="preserve"> – Federal and state returns/reports and supporting records; files related to tax audits.</w:t>
            </w:r>
          </w:p>
        </w:tc>
        <w:tc>
          <w:tcPr>
            <w:tcW w:w="1701" w:type="dxa"/>
            <w:vAlign w:val="center"/>
          </w:tcPr>
          <w:p w:rsidR="009028DA" w:rsidRDefault="009028DA" w:rsidP="00CA2E37">
            <w:r w:rsidRPr="001A5E53">
              <w:t>Permanently</w:t>
            </w:r>
          </w:p>
        </w:tc>
      </w:tr>
      <w:tr w:rsidR="009028DA" w:rsidTr="009028DA">
        <w:tc>
          <w:tcPr>
            <w:tcW w:w="6804" w:type="dxa"/>
            <w:shd w:val="clear" w:color="auto" w:fill="auto"/>
          </w:tcPr>
          <w:p w:rsidR="009028DA" w:rsidRDefault="009028DA" w:rsidP="00006623">
            <w:pPr>
              <w:spacing w:before="60" w:after="60"/>
            </w:pPr>
            <w:r w:rsidRPr="009028DA">
              <w:rPr>
                <w:b/>
              </w:rPr>
              <w:t>Intellectual property records</w:t>
            </w:r>
            <w:r>
              <w:t xml:space="preserve"> – trademark and copyright registrations and samples of protected works.</w:t>
            </w:r>
          </w:p>
        </w:tc>
        <w:tc>
          <w:tcPr>
            <w:tcW w:w="1701" w:type="dxa"/>
            <w:vAlign w:val="center"/>
          </w:tcPr>
          <w:p w:rsidR="009028DA" w:rsidRDefault="009028DA" w:rsidP="00CA2E37">
            <w:r w:rsidRPr="001A5E53">
              <w:t>Permanently</w:t>
            </w:r>
          </w:p>
        </w:tc>
      </w:tr>
      <w:tr w:rsidR="009028DA" w:rsidTr="009028DA">
        <w:tc>
          <w:tcPr>
            <w:tcW w:w="6804" w:type="dxa"/>
            <w:shd w:val="clear" w:color="auto" w:fill="auto"/>
          </w:tcPr>
          <w:p w:rsidR="009028DA" w:rsidRPr="00D136EC" w:rsidRDefault="009028DA" w:rsidP="00CF0E53">
            <w:pPr>
              <w:spacing w:before="60" w:after="60"/>
            </w:pPr>
            <w:r w:rsidRPr="009028DA">
              <w:rPr>
                <w:b/>
              </w:rPr>
              <w:t>Financial records</w:t>
            </w:r>
            <w:r>
              <w:t xml:space="preserve"> - Audited year-end financial statements, attorney contingent liability letters.</w:t>
            </w:r>
          </w:p>
        </w:tc>
        <w:tc>
          <w:tcPr>
            <w:tcW w:w="1701" w:type="dxa"/>
            <w:vAlign w:val="center"/>
          </w:tcPr>
          <w:p w:rsidR="009028DA" w:rsidRDefault="009028DA" w:rsidP="00CA2E37">
            <w:r w:rsidRPr="001A5E53">
              <w:t>Permanently</w:t>
            </w:r>
          </w:p>
        </w:tc>
      </w:tr>
      <w:tr w:rsidR="00C67A3D" w:rsidTr="009028DA">
        <w:tc>
          <w:tcPr>
            <w:tcW w:w="6804" w:type="dxa"/>
            <w:shd w:val="clear" w:color="auto" w:fill="auto"/>
          </w:tcPr>
          <w:p w:rsidR="00C67A3D" w:rsidRPr="009028DA" w:rsidRDefault="00C67A3D" w:rsidP="002F60FD">
            <w:pPr>
              <w:spacing w:before="60" w:after="60"/>
              <w:rPr>
                <w:color w:val="000000"/>
              </w:rPr>
            </w:pPr>
            <w:r w:rsidRPr="009028DA">
              <w:rPr>
                <w:rFonts w:ascii="Calibri" w:eastAsia="Calibri" w:hAnsi="Calibri" w:cs="Times New Roman"/>
                <w:b/>
                <w:color w:val="000000"/>
              </w:rPr>
              <w:t>Successful grant proposals and agreement documentation</w:t>
            </w:r>
            <w:r w:rsidRPr="009028DA">
              <w:rPr>
                <w:rFonts w:ascii="Calibri" w:eastAsia="Calibri" w:hAnsi="Calibri" w:cs="Times New Roman"/>
                <w:color w:val="000000"/>
              </w:rPr>
              <w:t xml:space="preserve"> including all relevant binding correspondence.</w:t>
            </w:r>
          </w:p>
        </w:tc>
        <w:tc>
          <w:tcPr>
            <w:tcW w:w="1701" w:type="dxa"/>
            <w:vAlign w:val="center"/>
          </w:tcPr>
          <w:p w:rsidR="00C67A3D" w:rsidRDefault="00C67A3D" w:rsidP="002F60FD">
            <w:r>
              <w:t>5 Years</w:t>
            </w:r>
          </w:p>
        </w:tc>
      </w:tr>
      <w:tr w:rsidR="00C67A3D" w:rsidTr="009028DA">
        <w:tc>
          <w:tcPr>
            <w:tcW w:w="6804" w:type="dxa"/>
            <w:shd w:val="clear" w:color="auto" w:fill="auto"/>
          </w:tcPr>
          <w:p w:rsidR="00C67A3D" w:rsidRPr="009028DA" w:rsidRDefault="00C67A3D" w:rsidP="009028DA">
            <w:pPr>
              <w:spacing w:before="60" w:after="60"/>
              <w:rPr>
                <w:color w:val="000000"/>
              </w:rPr>
            </w:pPr>
            <w:r w:rsidRPr="009028DA">
              <w:rPr>
                <w:b/>
              </w:rPr>
              <w:t>Employee/employment records</w:t>
            </w:r>
            <w:r w:rsidRPr="009028DA">
              <w:t xml:space="preserve"> - </w:t>
            </w:r>
            <w:r w:rsidRPr="009028DA">
              <w:rPr>
                <w:rFonts w:ascii="Calibri" w:eastAsia="Calibri" w:hAnsi="Calibri" w:cs="Times New Roman"/>
              </w:rPr>
              <w:t>Employee names, addresses, social security numbers, dates of birth, INS Form I-9, resume/application materials, job descriptions, dates of hire and termination/separation, evaluations, compensation information, promotions, disciplinary matters, time/payroll records, leave/comp time, engagement and discharge correspondence, documentation of basis for independent contractor stats (retain for all current employees and independent contractors and for three years after departure of each individual).</w:t>
            </w:r>
            <w:r w:rsidRPr="009028DA">
              <w:rPr>
                <w:rFonts w:ascii="Calibri" w:eastAsia="Calibri" w:hAnsi="Calibri" w:cs="Times New Roman"/>
                <w:color w:val="000000"/>
              </w:rPr>
              <w:t xml:space="preserve"> </w:t>
            </w:r>
          </w:p>
        </w:tc>
        <w:tc>
          <w:tcPr>
            <w:tcW w:w="1701" w:type="dxa"/>
            <w:vAlign w:val="center"/>
          </w:tcPr>
          <w:p w:rsidR="00C67A3D" w:rsidRPr="00D136EC" w:rsidRDefault="00C67A3D" w:rsidP="00F97463">
            <w:pPr>
              <w:spacing w:before="60" w:after="60"/>
            </w:pPr>
            <w:r>
              <w:t>3 Years</w:t>
            </w:r>
          </w:p>
        </w:tc>
      </w:tr>
      <w:tr w:rsidR="00C67A3D" w:rsidTr="009028DA">
        <w:tc>
          <w:tcPr>
            <w:tcW w:w="6804" w:type="dxa"/>
            <w:shd w:val="clear" w:color="auto" w:fill="auto"/>
          </w:tcPr>
          <w:p w:rsidR="00C67A3D" w:rsidRPr="009028DA" w:rsidRDefault="00C67A3D" w:rsidP="00745530">
            <w:pPr>
              <w:spacing w:before="60" w:after="60"/>
            </w:pPr>
            <w:r w:rsidRPr="009028DA">
              <w:rPr>
                <w:rFonts w:ascii="Calibri" w:eastAsia="Calibri" w:hAnsi="Calibri" w:cs="Times New Roman"/>
                <w:b/>
                <w:color w:val="000000"/>
              </w:rPr>
              <w:t>Lease, insurance, and contract/license records</w:t>
            </w:r>
            <w:r w:rsidRPr="009028DA">
              <w:rPr>
                <w:rFonts w:ascii="Calibri" w:eastAsia="Calibri" w:hAnsi="Calibri" w:cs="Times New Roman"/>
                <w:color w:val="000000"/>
              </w:rPr>
              <w:t xml:space="preserve"> – Software license agreements, vendor, travel, and service agreements, Memorandums of Agreement (MOAs), independent contractor agreements, employment agreements, consultant agreements, and all other agreements (retain during the term of the agreement and for three years after the termination, expiration, non-renewal of each agreement).</w:t>
            </w:r>
          </w:p>
        </w:tc>
        <w:tc>
          <w:tcPr>
            <w:tcW w:w="1701" w:type="dxa"/>
            <w:vAlign w:val="center"/>
          </w:tcPr>
          <w:p w:rsidR="00C67A3D" w:rsidRDefault="00C67A3D" w:rsidP="00CA2E37">
            <w:r>
              <w:t>3 Years</w:t>
            </w:r>
          </w:p>
        </w:tc>
      </w:tr>
    </w:tbl>
    <w:p w:rsidR="00CF0E53" w:rsidRDefault="00CF0E53" w:rsidP="009028DA">
      <w:pPr>
        <w:spacing w:after="0"/>
        <w:rPr>
          <w:b/>
          <w:sz w:val="28"/>
          <w:szCs w:val="28"/>
          <w:highlight w:val="yellow"/>
        </w:rPr>
      </w:pPr>
    </w:p>
    <w:p w:rsidR="00544652" w:rsidRPr="00CF0E53" w:rsidRDefault="00544652" w:rsidP="009028DA">
      <w:pPr>
        <w:rPr>
          <w:b/>
          <w:sz w:val="28"/>
          <w:szCs w:val="28"/>
        </w:rPr>
      </w:pPr>
      <w:r w:rsidRPr="00CF0E53">
        <w:rPr>
          <w:b/>
          <w:sz w:val="28"/>
          <w:szCs w:val="28"/>
        </w:rPr>
        <w:t>Procedures</w:t>
      </w:r>
    </w:p>
    <w:p w:rsidR="008B2166" w:rsidRPr="00CF0E53" w:rsidRDefault="00501EC5" w:rsidP="009028DA">
      <w:pPr>
        <w:pStyle w:val="BodyText"/>
        <w:spacing w:after="120"/>
        <w:rPr>
          <w:rFonts w:ascii="Calibri" w:hAnsi="Calibri"/>
        </w:rPr>
      </w:pPr>
      <w:r w:rsidRPr="00CF0E53">
        <w:rPr>
          <w:rFonts w:ascii="Calibri" w:hAnsi="Calibri"/>
        </w:rPr>
        <w:t>The E</w:t>
      </w:r>
      <w:r w:rsidR="00CF0E53">
        <w:rPr>
          <w:rFonts w:ascii="Calibri" w:hAnsi="Calibri"/>
        </w:rPr>
        <w:t xml:space="preserve">xecutive </w:t>
      </w:r>
      <w:r w:rsidRPr="00CF0E53">
        <w:rPr>
          <w:rFonts w:ascii="Calibri" w:hAnsi="Calibri"/>
        </w:rPr>
        <w:t>D</w:t>
      </w:r>
      <w:r w:rsidR="00CF0E53">
        <w:rPr>
          <w:rFonts w:ascii="Calibri" w:hAnsi="Calibri"/>
        </w:rPr>
        <w:t>irector</w:t>
      </w:r>
      <w:r w:rsidRPr="00CF0E53">
        <w:rPr>
          <w:rFonts w:ascii="Calibri" w:hAnsi="Calibri"/>
        </w:rPr>
        <w:t xml:space="preserve"> is responsible for</w:t>
      </w:r>
      <w:r w:rsidR="00CF0E53">
        <w:rPr>
          <w:rFonts w:ascii="Calibri" w:hAnsi="Calibri"/>
        </w:rPr>
        <w:t xml:space="preserve"> performing an annual review of listed records to ensure that records are maintained and destroyed as required.</w:t>
      </w:r>
    </w:p>
    <w:sectPr w:rsidR="008B2166" w:rsidRPr="00CF0E53" w:rsidSect="00BC471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3E" w:rsidRDefault="0033353E" w:rsidP="00544652">
      <w:pPr>
        <w:spacing w:after="0" w:line="240" w:lineRule="auto"/>
      </w:pPr>
      <w:r>
        <w:separator/>
      </w:r>
    </w:p>
  </w:endnote>
  <w:endnote w:type="continuationSeparator" w:id="0">
    <w:p w:rsidR="0033353E" w:rsidRDefault="0033353E" w:rsidP="0054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52" w:rsidRDefault="00544652">
    <w:pPr>
      <w:pStyle w:val="Footer"/>
    </w:pPr>
  </w:p>
  <w:tbl>
    <w:tblPr>
      <w:tblStyle w:val="TableGrid"/>
      <w:tblW w:w="0" w:type="auto"/>
      <w:tblLook w:val="04A0" w:firstRow="1" w:lastRow="0" w:firstColumn="1" w:lastColumn="0" w:noHBand="0" w:noVBand="1"/>
    </w:tblPr>
    <w:tblGrid>
      <w:gridCol w:w="2462"/>
      <w:gridCol w:w="3314"/>
      <w:gridCol w:w="2351"/>
      <w:gridCol w:w="1223"/>
    </w:tblGrid>
    <w:tr w:rsidR="009A3DB5" w:rsidRPr="000A41B8" w:rsidTr="0004564B">
      <w:tc>
        <w:tcPr>
          <w:tcW w:w="2518" w:type="dxa"/>
        </w:tcPr>
        <w:p w:rsidR="009A3DB5" w:rsidRDefault="009A3DB5" w:rsidP="00B0427A">
          <w:pPr>
            <w:pStyle w:val="Footer"/>
          </w:pPr>
          <w:r w:rsidRPr="000A41B8">
            <w:rPr>
              <w:b/>
            </w:rPr>
            <w:t>Approval Date:</w:t>
          </w:r>
          <w:r w:rsidR="00B0427A">
            <w:t xml:space="preserve"> May 2015</w:t>
          </w:r>
        </w:p>
      </w:tc>
      <w:tc>
        <w:tcPr>
          <w:tcW w:w="3402" w:type="dxa"/>
        </w:tcPr>
        <w:p w:rsidR="009A3DB5" w:rsidRPr="000A41B8" w:rsidRDefault="009A3DB5" w:rsidP="0004564B">
          <w:pPr>
            <w:pStyle w:val="Footer"/>
            <w:rPr>
              <w:b/>
            </w:rPr>
          </w:pPr>
          <w:r w:rsidRPr="000A41B8">
            <w:rPr>
              <w:b/>
            </w:rPr>
            <w:t>Approved by:</w:t>
          </w:r>
          <w:r>
            <w:t xml:space="preserve">  </w:t>
          </w:r>
          <w:r w:rsidRPr="000A41B8">
            <w:t>Board of Directors</w:t>
          </w:r>
        </w:p>
      </w:tc>
      <w:tc>
        <w:tcPr>
          <w:tcW w:w="2410" w:type="dxa"/>
        </w:tcPr>
        <w:p w:rsidR="009A3DB5" w:rsidRDefault="009A3DB5" w:rsidP="0004564B">
          <w:r w:rsidRPr="000A41B8">
            <w:rPr>
              <w:b/>
            </w:rPr>
            <w:t>Review Due:</w:t>
          </w:r>
          <w:r w:rsidR="00B0427A">
            <w:t xml:space="preserve"> May 2017</w:t>
          </w:r>
        </w:p>
      </w:tc>
      <w:tc>
        <w:tcPr>
          <w:tcW w:w="1246" w:type="dxa"/>
        </w:tcPr>
        <w:sdt>
          <w:sdtPr>
            <w:rPr>
              <w:b/>
            </w:rPr>
            <w:id w:val="250395305"/>
            <w:docPartObj>
              <w:docPartGallery w:val="Page Numbers (Top of Page)"/>
              <w:docPartUnique/>
            </w:docPartObj>
          </w:sdtPr>
          <w:sdtEndPr/>
          <w:sdtContent>
            <w:p w:rsidR="009A3DB5" w:rsidRPr="000A41B8" w:rsidRDefault="009A3DB5" w:rsidP="0004564B">
              <w:pPr>
                <w:jc w:val="right"/>
                <w:rPr>
                  <w:b/>
                </w:rPr>
              </w:pPr>
              <w:r w:rsidRPr="000A41B8">
                <w:rPr>
                  <w:b/>
                </w:rPr>
                <w:t xml:space="preserve">Page </w:t>
              </w:r>
              <w:r w:rsidRPr="000A41B8">
                <w:rPr>
                  <w:b/>
                </w:rPr>
                <w:fldChar w:fldCharType="begin"/>
              </w:r>
              <w:r w:rsidRPr="000A41B8">
                <w:rPr>
                  <w:b/>
                </w:rPr>
                <w:instrText xml:space="preserve"> PAGE </w:instrText>
              </w:r>
              <w:r w:rsidRPr="000A41B8">
                <w:rPr>
                  <w:b/>
                </w:rPr>
                <w:fldChar w:fldCharType="separate"/>
              </w:r>
              <w:r w:rsidR="00B0427A">
                <w:rPr>
                  <w:b/>
                  <w:noProof/>
                </w:rPr>
                <w:t>2</w:t>
              </w:r>
              <w:r w:rsidRPr="000A41B8">
                <w:rPr>
                  <w:b/>
                </w:rPr>
                <w:fldChar w:fldCharType="end"/>
              </w:r>
              <w:r w:rsidRPr="000A41B8">
                <w:rPr>
                  <w:b/>
                </w:rPr>
                <w:t xml:space="preserve"> of </w:t>
              </w:r>
              <w:r w:rsidRPr="000A41B8">
                <w:rPr>
                  <w:b/>
                </w:rPr>
                <w:fldChar w:fldCharType="begin"/>
              </w:r>
              <w:r w:rsidRPr="000A41B8">
                <w:rPr>
                  <w:b/>
                </w:rPr>
                <w:instrText xml:space="preserve"> NUMPAGES  </w:instrText>
              </w:r>
              <w:r w:rsidRPr="000A41B8">
                <w:rPr>
                  <w:b/>
                </w:rPr>
                <w:fldChar w:fldCharType="separate"/>
              </w:r>
              <w:r w:rsidR="00B0427A">
                <w:rPr>
                  <w:b/>
                  <w:noProof/>
                </w:rPr>
                <w:t>2</w:t>
              </w:r>
              <w:r w:rsidRPr="000A41B8">
                <w:rPr>
                  <w:b/>
                </w:rPr>
                <w:fldChar w:fldCharType="end"/>
              </w:r>
            </w:p>
          </w:sdtContent>
        </w:sdt>
      </w:tc>
    </w:tr>
  </w:tbl>
  <w:p w:rsidR="00544652" w:rsidRDefault="00544652">
    <w:pPr>
      <w:pStyle w:val="Footer"/>
    </w:pPr>
  </w:p>
  <w:p w:rsidR="00544652" w:rsidRDefault="0054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3E" w:rsidRDefault="0033353E" w:rsidP="00544652">
      <w:pPr>
        <w:spacing w:after="0" w:line="240" w:lineRule="auto"/>
      </w:pPr>
      <w:r>
        <w:separator/>
      </w:r>
    </w:p>
  </w:footnote>
  <w:footnote w:type="continuationSeparator" w:id="0">
    <w:p w:rsidR="0033353E" w:rsidRDefault="0033353E" w:rsidP="00544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3D45"/>
    <w:multiLevelType w:val="hybridMultilevel"/>
    <w:tmpl w:val="6D4EBC6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1" w15:restartNumberingAfterBreak="0">
    <w:nsid w:val="18825E21"/>
    <w:multiLevelType w:val="hybridMultilevel"/>
    <w:tmpl w:val="C2DA9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AB2453"/>
    <w:multiLevelType w:val="hybridMultilevel"/>
    <w:tmpl w:val="991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791"/>
    <w:multiLevelType w:val="hybridMultilevel"/>
    <w:tmpl w:val="3F949818"/>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 w15:restartNumberingAfterBreak="0">
    <w:nsid w:val="355420D9"/>
    <w:multiLevelType w:val="hybridMultilevel"/>
    <w:tmpl w:val="B178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85CB5"/>
    <w:multiLevelType w:val="hybridMultilevel"/>
    <w:tmpl w:val="93AEE04C"/>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3872314D"/>
    <w:multiLevelType w:val="hybridMultilevel"/>
    <w:tmpl w:val="33D8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901EB"/>
    <w:multiLevelType w:val="hybridMultilevel"/>
    <w:tmpl w:val="C6322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E61FD"/>
    <w:multiLevelType w:val="hybridMultilevel"/>
    <w:tmpl w:val="4CDCE1B6"/>
    <w:lvl w:ilvl="0" w:tplc="59846F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B59B9"/>
    <w:multiLevelType w:val="hybridMultilevel"/>
    <w:tmpl w:val="7DAC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E591B"/>
    <w:multiLevelType w:val="hybridMultilevel"/>
    <w:tmpl w:val="387C6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970176"/>
    <w:multiLevelType w:val="hybridMultilevel"/>
    <w:tmpl w:val="9B4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868FF"/>
    <w:multiLevelType w:val="hybridMultilevel"/>
    <w:tmpl w:val="BF98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1"/>
  </w:num>
  <w:num w:numId="5">
    <w:abstractNumId w:val="2"/>
  </w:num>
  <w:num w:numId="6">
    <w:abstractNumId w:val="1"/>
  </w:num>
  <w:num w:numId="7">
    <w:abstractNumId w:val="0"/>
  </w:num>
  <w:num w:numId="8">
    <w:abstractNumId w:val="5"/>
  </w:num>
  <w:num w:numId="9">
    <w:abstractNumId w:val="3"/>
  </w:num>
  <w:num w:numId="10">
    <w:abstractNumId w:val="6"/>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52"/>
    <w:rsid w:val="00006623"/>
    <w:rsid w:val="00092CC6"/>
    <w:rsid w:val="00094AAA"/>
    <w:rsid w:val="000B633A"/>
    <w:rsid w:val="000C1BE1"/>
    <w:rsid w:val="001365F3"/>
    <w:rsid w:val="001577F0"/>
    <w:rsid w:val="00245167"/>
    <w:rsid w:val="002F3894"/>
    <w:rsid w:val="0033353E"/>
    <w:rsid w:val="00357559"/>
    <w:rsid w:val="003737E8"/>
    <w:rsid w:val="00397346"/>
    <w:rsid w:val="003C3FC6"/>
    <w:rsid w:val="00445263"/>
    <w:rsid w:val="00490987"/>
    <w:rsid w:val="00492340"/>
    <w:rsid w:val="004A201D"/>
    <w:rsid w:val="004D1EAB"/>
    <w:rsid w:val="004D2138"/>
    <w:rsid w:val="004F2A45"/>
    <w:rsid w:val="005007CD"/>
    <w:rsid w:val="00501EC5"/>
    <w:rsid w:val="00544652"/>
    <w:rsid w:val="00587442"/>
    <w:rsid w:val="005978E1"/>
    <w:rsid w:val="005C5FCC"/>
    <w:rsid w:val="005C615E"/>
    <w:rsid w:val="005F0F7D"/>
    <w:rsid w:val="00696CBA"/>
    <w:rsid w:val="006A1B00"/>
    <w:rsid w:val="006F5AE3"/>
    <w:rsid w:val="00745530"/>
    <w:rsid w:val="00753018"/>
    <w:rsid w:val="00777B77"/>
    <w:rsid w:val="007D2198"/>
    <w:rsid w:val="007D65CC"/>
    <w:rsid w:val="007E3142"/>
    <w:rsid w:val="008A0483"/>
    <w:rsid w:val="008B2166"/>
    <w:rsid w:val="009028DA"/>
    <w:rsid w:val="009405F1"/>
    <w:rsid w:val="009474F9"/>
    <w:rsid w:val="009676F3"/>
    <w:rsid w:val="009A3DB5"/>
    <w:rsid w:val="009A4F06"/>
    <w:rsid w:val="009B04E3"/>
    <w:rsid w:val="009B4F50"/>
    <w:rsid w:val="009D13FB"/>
    <w:rsid w:val="00A4036C"/>
    <w:rsid w:val="00A55080"/>
    <w:rsid w:val="00AD088E"/>
    <w:rsid w:val="00B0427A"/>
    <w:rsid w:val="00B62CB7"/>
    <w:rsid w:val="00BB1688"/>
    <w:rsid w:val="00BC4710"/>
    <w:rsid w:val="00C67A3D"/>
    <w:rsid w:val="00C749F7"/>
    <w:rsid w:val="00CA2E37"/>
    <w:rsid w:val="00CA416D"/>
    <w:rsid w:val="00CF0E53"/>
    <w:rsid w:val="00D136EC"/>
    <w:rsid w:val="00DC45C0"/>
    <w:rsid w:val="00E627FF"/>
    <w:rsid w:val="00EA4F62"/>
    <w:rsid w:val="00F26CB1"/>
    <w:rsid w:val="00F321E7"/>
    <w:rsid w:val="00F54512"/>
    <w:rsid w:val="00F80881"/>
    <w:rsid w:val="00F97463"/>
    <w:rsid w:val="00FB3B01"/>
    <w:rsid w:val="00F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D4421-FF53-4D68-A57B-C40A265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18"/>
  </w:style>
  <w:style w:type="paragraph" w:styleId="Heading3">
    <w:name w:val="heading 3"/>
    <w:basedOn w:val="Normal"/>
    <w:next w:val="Normal"/>
    <w:link w:val="Heading3Char"/>
    <w:qFormat/>
    <w:rsid w:val="00544652"/>
    <w:pPr>
      <w:keepNext/>
      <w:spacing w:after="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52"/>
  </w:style>
  <w:style w:type="paragraph" w:styleId="Footer">
    <w:name w:val="footer"/>
    <w:basedOn w:val="Normal"/>
    <w:link w:val="FooterChar"/>
    <w:uiPriority w:val="99"/>
    <w:unhideWhenUsed/>
    <w:rsid w:val="0054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52"/>
  </w:style>
  <w:style w:type="paragraph" w:styleId="BalloonText">
    <w:name w:val="Balloon Text"/>
    <w:basedOn w:val="Normal"/>
    <w:link w:val="BalloonTextChar"/>
    <w:uiPriority w:val="99"/>
    <w:semiHidden/>
    <w:unhideWhenUsed/>
    <w:rsid w:val="0054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52"/>
    <w:rPr>
      <w:rFonts w:ascii="Tahoma" w:hAnsi="Tahoma" w:cs="Tahoma"/>
      <w:sz w:val="16"/>
      <w:szCs w:val="16"/>
    </w:rPr>
  </w:style>
  <w:style w:type="character" w:customStyle="1" w:styleId="Heading3Char">
    <w:name w:val="Heading 3 Char"/>
    <w:basedOn w:val="DefaultParagraphFont"/>
    <w:link w:val="Heading3"/>
    <w:rsid w:val="00544652"/>
    <w:rPr>
      <w:rFonts w:ascii="Times New Roman" w:eastAsia="Times New Roman" w:hAnsi="Times New Roman" w:cs="Times New Roman"/>
      <w:b/>
      <w:bCs/>
      <w:sz w:val="20"/>
      <w:szCs w:val="20"/>
    </w:rPr>
  </w:style>
  <w:style w:type="table" w:styleId="TableGrid">
    <w:name w:val="Table Grid"/>
    <w:basedOn w:val="TableNormal"/>
    <w:uiPriority w:val="59"/>
    <w:rsid w:val="00544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2198"/>
    <w:pPr>
      <w:ind w:left="720"/>
      <w:contextualSpacing/>
    </w:pPr>
  </w:style>
  <w:style w:type="paragraph" w:styleId="BodyText">
    <w:name w:val="Body Text"/>
    <w:basedOn w:val="Normal"/>
    <w:link w:val="BodyTextChar"/>
    <w:rsid w:val="009D13FB"/>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D13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89D1-6CFA-48E3-8DC4-BE656C3B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AK Peer Support Admin</cp:lastModifiedBy>
  <cp:revision>3</cp:revision>
  <dcterms:created xsi:type="dcterms:W3CDTF">2015-07-15T22:35:00Z</dcterms:created>
  <dcterms:modified xsi:type="dcterms:W3CDTF">2015-07-20T18:18:00Z</dcterms:modified>
</cp:coreProperties>
</file>