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0" w:rsidRDefault="00A103EE" w:rsidP="00544652">
      <w:pPr>
        <w:jc w:val="center"/>
        <w:rPr>
          <w:sz w:val="40"/>
          <w:szCs w:val="40"/>
        </w:rPr>
      </w:pPr>
      <w:r w:rsidRPr="00A103EE">
        <w:rPr>
          <w:noProof/>
          <w:sz w:val="40"/>
          <w:szCs w:val="40"/>
        </w:rPr>
        <w:drawing>
          <wp:inline distT="0" distB="0" distL="0" distR="0">
            <wp:extent cx="5274945" cy="990772"/>
            <wp:effectExtent l="19050" t="0" r="1905" b="0"/>
            <wp:docPr id="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99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52" w:rsidRPr="009D13FB" w:rsidRDefault="00112899" w:rsidP="005446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Joint Venture </w:t>
      </w:r>
      <w:r w:rsidR="00BC4710">
        <w:rPr>
          <w:sz w:val="40"/>
          <w:szCs w:val="40"/>
        </w:rPr>
        <w:t>Policy</w:t>
      </w:r>
    </w:p>
    <w:p w:rsidR="00544652" w:rsidRPr="00F54512" w:rsidRDefault="00544652" w:rsidP="00F54512">
      <w:pPr>
        <w:spacing w:after="0"/>
        <w:jc w:val="center"/>
        <w:rPr>
          <w:i/>
        </w:rPr>
      </w:pPr>
    </w:p>
    <w:p w:rsidR="00544652" w:rsidRPr="009D13FB" w:rsidRDefault="00544652" w:rsidP="00544652">
      <w:pPr>
        <w:rPr>
          <w:b/>
          <w:sz w:val="28"/>
          <w:szCs w:val="28"/>
        </w:rPr>
      </w:pPr>
      <w:r w:rsidRPr="009D13FB">
        <w:rPr>
          <w:b/>
          <w:sz w:val="28"/>
          <w:szCs w:val="28"/>
        </w:rPr>
        <w:t>Scope</w:t>
      </w:r>
    </w:p>
    <w:p w:rsidR="003111F9" w:rsidRPr="00ED447B" w:rsidRDefault="006F5AE3" w:rsidP="003111F9">
      <w:pPr>
        <w:pStyle w:val="BodyText"/>
        <w:rPr>
          <w:rFonts w:asciiTheme="minorHAnsi" w:hAnsiTheme="minorHAnsi"/>
          <w:sz w:val="22"/>
          <w:szCs w:val="22"/>
        </w:rPr>
      </w:pPr>
      <w:r w:rsidRPr="00ED447B">
        <w:rPr>
          <w:rFonts w:asciiTheme="minorHAnsi" w:eastAsia="Calibri" w:hAnsiTheme="minorHAnsi"/>
          <w:sz w:val="22"/>
          <w:szCs w:val="22"/>
        </w:rPr>
        <w:t xml:space="preserve">This Policy </w:t>
      </w:r>
      <w:r w:rsidR="005C5FCC" w:rsidRPr="00ED447B">
        <w:rPr>
          <w:rFonts w:asciiTheme="minorHAnsi" w:eastAsia="Calibri" w:hAnsiTheme="minorHAnsi"/>
          <w:sz w:val="22"/>
          <w:szCs w:val="22"/>
        </w:rPr>
        <w:t>applies to</w:t>
      </w:r>
      <w:r w:rsidR="0023424B" w:rsidRPr="00ED447B">
        <w:rPr>
          <w:rFonts w:asciiTheme="minorHAnsi" w:eastAsia="Calibri" w:hAnsiTheme="minorHAnsi"/>
          <w:sz w:val="22"/>
          <w:szCs w:val="22"/>
        </w:rPr>
        <w:t xml:space="preserve"> any potential venture or arrangement </w:t>
      </w:r>
      <w:r w:rsidR="003111F9" w:rsidRPr="00ED447B">
        <w:rPr>
          <w:rFonts w:asciiTheme="minorHAnsi" w:eastAsia="Calibri" w:hAnsiTheme="minorHAnsi"/>
          <w:sz w:val="22"/>
          <w:szCs w:val="22"/>
        </w:rPr>
        <w:t xml:space="preserve">with taxable entities </w:t>
      </w:r>
      <w:r w:rsidR="003111F9" w:rsidRPr="00ED447B">
        <w:rPr>
          <w:rFonts w:asciiTheme="minorHAnsi" w:hAnsiTheme="minorHAnsi"/>
          <w:sz w:val="22"/>
          <w:szCs w:val="22"/>
        </w:rPr>
        <w:t>through which there is an agreement to jointly undertake a specific business enterprise, investment, or exempt-purpose activity as further defined in this policy.</w:t>
      </w:r>
    </w:p>
    <w:p w:rsidR="00544652" w:rsidRPr="009D13FB" w:rsidRDefault="00544652" w:rsidP="00CA416D">
      <w:pPr>
        <w:spacing w:before="240"/>
        <w:rPr>
          <w:rFonts w:cs="Arial"/>
        </w:rPr>
      </w:pPr>
      <w:r w:rsidRPr="009D13FB">
        <w:rPr>
          <w:b/>
          <w:sz w:val="28"/>
          <w:szCs w:val="28"/>
        </w:rPr>
        <w:t>Background</w:t>
      </w:r>
    </w:p>
    <w:p w:rsidR="008A0483" w:rsidRPr="00ED447B" w:rsidRDefault="00BD5EAA" w:rsidP="00CA416D">
      <w:pPr>
        <w:spacing w:after="120"/>
        <w:rPr>
          <w:b/>
        </w:rPr>
      </w:pPr>
      <w:r w:rsidRPr="00ED447B">
        <w:t xml:space="preserve">Federal tax laws require that the Consortium evaluate its participation in joint venture arrangements and take steps to safeguard the Consortium’s exempt status with respect to such arrangements. </w:t>
      </w:r>
      <w:r w:rsidR="00970D58" w:rsidRPr="00ED447B">
        <w:t>This policy</w:t>
      </w:r>
      <w:r w:rsidR="00A626FD" w:rsidRPr="00ED447B">
        <w:t xml:space="preserve"> has been established to help us avoid entering into any venture or arrangement that would put our tax exempt status at risk. </w:t>
      </w:r>
    </w:p>
    <w:p w:rsidR="009D13FB" w:rsidRDefault="00544652" w:rsidP="00CA416D">
      <w:pPr>
        <w:spacing w:after="240"/>
        <w:rPr>
          <w:b/>
          <w:sz w:val="28"/>
          <w:szCs w:val="28"/>
        </w:rPr>
      </w:pPr>
      <w:r w:rsidRPr="009D13FB">
        <w:rPr>
          <w:b/>
          <w:sz w:val="28"/>
          <w:szCs w:val="28"/>
        </w:rPr>
        <w:t>Definitions</w:t>
      </w:r>
    </w:p>
    <w:p w:rsidR="003111F9" w:rsidRPr="00ED447B" w:rsidRDefault="003111F9" w:rsidP="003111F9">
      <w:pPr>
        <w:spacing w:after="120"/>
      </w:pPr>
      <w:r w:rsidRPr="00ED447B">
        <w:t>For purposes of this policy, a joint venture or similar arrangement (or a “venture or arrangement”) means any joint ownership or contractual arrangement through which there is an agreement to jointly undertake a specific business enterprise, investment, or exempt-purpose activity without regard to: (1) whether the Consortium controls the venture or arrangement; (2) the legal structure of the venture or arrangement; or (3) whether the venture or arrangement is taxed as a partnership or as an association or corporation for federal income tax purposes.  A venture or arrangement is disregarded if it meets both of the following conditions:</w:t>
      </w:r>
    </w:p>
    <w:p w:rsidR="003111F9" w:rsidRPr="00ED447B" w:rsidRDefault="003111F9" w:rsidP="003111F9">
      <w:pPr>
        <w:spacing w:after="120"/>
        <w:ind w:left="720"/>
      </w:pPr>
      <w:r w:rsidRPr="00ED447B">
        <w:t>(a) 95% or more of the venture’s or arrangement’s income for its tax year ending within the Consortium’s tax year is excluded from unrelated business income taxation [including but not limited to: (</w:t>
      </w:r>
      <w:proofErr w:type="spellStart"/>
      <w:r w:rsidRPr="00ED447B">
        <w:t>i</w:t>
      </w:r>
      <w:proofErr w:type="spellEnd"/>
      <w:r w:rsidRPr="00ED447B">
        <w:t>) dividends, interest, and annuities; (iii) royalties; (iii) rent from real property and incidental related personal property except to the extent of debt-financing; and (iv) gains or losses from the sale of property]; and</w:t>
      </w:r>
    </w:p>
    <w:p w:rsidR="003111F9" w:rsidRPr="00ED447B" w:rsidRDefault="003111F9" w:rsidP="003111F9">
      <w:pPr>
        <w:spacing w:after="120"/>
        <w:ind w:left="720"/>
      </w:pPr>
      <w:r w:rsidRPr="00ED447B">
        <w:t xml:space="preserve">(b) </w:t>
      </w:r>
      <w:proofErr w:type="gramStart"/>
      <w:r w:rsidRPr="00ED447B">
        <w:t>the</w:t>
      </w:r>
      <w:proofErr w:type="gramEnd"/>
      <w:r w:rsidRPr="00ED447B">
        <w:t xml:space="preserve"> primary purpose of the Consortium’s contribution to, or investment or participation in, the venture or arrangement is the production of income or appreciation of property.</w:t>
      </w:r>
    </w:p>
    <w:p w:rsidR="003111F9" w:rsidRPr="009D13FB" w:rsidRDefault="003111F9" w:rsidP="00CA416D">
      <w:pPr>
        <w:spacing w:after="240"/>
        <w:rPr>
          <w:rFonts w:cs="Arial"/>
        </w:rPr>
      </w:pPr>
    </w:p>
    <w:p w:rsidR="00544652" w:rsidRPr="009D13FB" w:rsidRDefault="00544652" w:rsidP="00CA416D">
      <w:pPr>
        <w:spacing w:before="240"/>
        <w:rPr>
          <w:rFonts w:cs="Arial"/>
        </w:rPr>
      </w:pPr>
      <w:r w:rsidRPr="009D13FB">
        <w:rPr>
          <w:b/>
          <w:sz w:val="28"/>
          <w:szCs w:val="28"/>
        </w:rPr>
        <w:lastRenderedPageBreak/>
        <w:t>Policy</w:t>
      </w:r>
      <w:r w:rsidR="007D2198" w:rsidRPr="009D13FB">
        <w:rPr>
          <w:rFonts w:cs="Arial"/>
        </w:rPr>
        <w:tab/>
      </w:r>
    </w:p>
    <w:p w:rsidR="00A626FD" w:rsidRPr="00ED447B" w:rsidRDefault="00970D58" w:rsidP="00ED447B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ED447B">
        <w:rPr>
          <w:rFonts w:asciiTheme="minorHAnsi" w:hAnsiTheme="minorHAnsi"/>
          <w:sz w:val="22"/>
          <w:szCs w:val="22"/>
        </w:rPr>
        <w:t>The Consortium is committed to fulfill</w:t>
      </w:r>
      <w:r w:rsidR="001934FB" w:rsidRPr="00ED447B">
        <w:rPr>
          <w:rFonts w:asciiTheme="minorHAnsi" w:hAnsiTheme="minorHAnsi"/>
          <w:sz w:val="22"/>
          <w:szCs w:val="22"/>
        </w:rPr>
        <w:t>ing</w:t>
      </w:r>
      <w:r w:rsidRPr="00ED447B">
        <w:rPr>
          <w:rFonts w:asciiTheme="minorHAnsi" w:hAnsiTheme="minorHAnsi"/>
          <w:sz w:val="22"/>
          <w:szCs w:val="22"/>
        </w:rPr>
        <w:t xml:space="preserve"> all of its obligations as required by law related to our tax exempt status</w:t>
      </w:r>
      <w:r w:rsidR="003111F9" w:rsidRPr="00ED447B">
        <w:rPr>
          <w:rFonts w:asciiTheme="minorHAnsi" w:hAnsiTheme="minorHAnsi"/>
          <w:sz w:val="22"/>
          <w:szCs w:val="22"/>
        </w:rPr>
        <w:t>. We will evaluate our participation in joint venture arrangements under Federal tax l</w:t>
      </w:r>
      <w:r w:rsidR="001934FB" w:rsidRPr="00ED447B">
        <w:rPr>
          <w:rFonts w:asciiTheme="minorHAnsi" w:hAnsiTheme="minorHAnsi"/>
          <w:sz w:val="22"/>
          <w:szCs w:val="22"/>
        </w:rPr>
        <w:t>aw</w:t>
      </w:r>
      <w:r w:rsidR="003111F9" w:rsidRPr="00ED447B">
        <w:rPr>
          <w:rFonts w:asciiTheme="minorHAnsi" w:hAnsiTheme="minorHAnsi"/>
          <w:sz w:val="22"/>
          <w:szCs w:val="22"/>
        </w:rPr>
        <w:t xml:space="preserve"> and take steps to saf</w:t>
      </w:r>
      <w:r w:rsidR="001934FB" w:rsidRPr="00ED447B">
        <w:rPr>
          <w:rFonts w:asciiTheme="minorHAnsi" w:hAnsiTheme="minorHAnsi"/>
          <w:sz w:val="22"/>
          <w:szCs w:val="22"/>
        </w:rPr>
        <w:t>eguard the Consortium’s exempt status with respect to such arrangements.</w:t>
      </w:r>
    </w:p>
    <w:p w:rsidR="00954331" w:rsidRPr="00A626FD" w:rsidRDefault="00954331" w:rsidP="00A626FD">
      <w:pPr>
        <w:pStyle w:val="BodyText"/>
        <w:spacing w:after="120"/>
        <w:ind w:left="360"/>
        <w:rPr>
          <w:rFonts w:asciiTheme="minorHAnsi" w:hAnsiTheme="minorHAnsi"/>
          <w:b/>
          <w:sz w:val="28"/>
          <w:szCs w:val="28"/>
        </w:rPr>
      </w:pPr>
    </w:p>
    <w:p w:rsidR="00544652" w:rsidRPr="001577F0" w:rsidRDefault="00544652" w:rsidP="00954331">
      <w:pPr>
        <w:spacing w:after="240"/>
        <w:rPr>
          <w:b/>
          <w:sz w:val="28"/>
          <w:szCs w:val="28"/>
        </w:rPr>
      </w:pPr>
      <w:r w:rsidRPr="001577F0">
        <w:rPr>
          <w:b/>
          <w:sz w:val="28"/>
          <w:szCs w:val="28"/>
        </w:rPr>
        <w:t>Procedures</w:t>
      </w:r>
    </w:p>
    <w:p w:rsidR="00583822" w:rsidRPr="00ED447B" w:rsidRDefault="00583822" w:rsidP="00583822">
      <w:pPr>
        <w:spacing w:after="120" w:line="240" w:lineRule="auto"/>
      </w:pPr>
      <w:r w:rsidRPr="00ED447B">
        <w:t>The Consortium will: a) negotiate in its transactions and arrangements with other members of the venture or arrangement such terms and safeguards adequate to ensure that the Consortium’s exempt status is protected; and b) take steps to safeguard the Consortium’s exempt status with respect to the venture or arrangement.  Some examples of safeguards include:</w:t>
      </w:r>
    </w:p>
    <w:p w:rsidR="00583822" w:rsidRPr="00ED447B" w:rsidRDefault="00583822" w:rsidP="00583822">
      <w:pPr>
        <w:numPr>
          <w:ilvl w:val="1"/>
          <w:numId w:val="6"/>
        </w:numPr>
        <w:spacing w:after="0" w:line="240" w:lineRule="auto"/>
      </w:pPr>
      <w:r w:rsidRPr="00ED447B">
        <w:t>Control over the venture or arrangement sufficient to ensure that it furthers the exempt purpose of the organization;</w:t>
      </w:r>
    </w:p>
    <w:p w:rsidR="00583822" w:rsidRPr="00ED447B" w:rsidRDefault="00583822" w:rsidP="00583822">
      <w:pPr>
        <w:numPr>
          <w:ilvl w:val="1"/>
          <w:numId w:val="6"/>
        </w:numPr>
        <w:spacing w:after="0" w:line="240" w:lineRule="auto"/>
      </w:pPr>
      <w:r w:rsidRPr="00ED447B">
        <w:t>Requirements that the venture or arrangement gives priority to exempt purposes over maximizing profits for the other participants;</w:t>
      </w:r>
    </w:p>
    <w:p w:rsidR="00583822" w:rsidRPr="00ED447B" w:rsidRDefault="00583822" w:rsidP="00583822">
      <w:pPr>
        <w:numPr>
          <w:ilvl w:val="1"/>
          <w:numId w:val="6"/>
        </w:numPr>
        <w:spacing w:after="0" w:line="240" w:lineRule="auto"/>
      </w:pPr>
      <w:r w:rsidRPr="00ED447B">
        <w:t xml:space="preserve">That the venture or arrangement not engage in activities that would jeopardize the Consortium’s exemption; and </w:t>
      </w:r>
    </w:p>
    <w:p w:rsidR="00583822" w:rsidRPr="00ED447B" w:rsidRDefault="00583822" w:rsidP="00583822">
      <w:pPr>
        <w:numPr>
          <w:ilvl w:val="1"/>
          <w:numId w:val="6"/>
        </w:numPr>
        <w:spacing w:after="0" w:line="240" w:lineRule="auto"/>
      </w:pPr>
      <w:r w:rsidRPr="00ED447B">
        <w:t>That all contracts entered into with the Consortium be on terms that are arm’s length or more favorable to the Consortium.</w:t>
      </w:r>
    </w:p>
    <w:p w:rsidR="00983294" w:rsidRDefault="00983294" w:rsidP="008B2166">
      <w:pPr>
        <w:pStyle w:val="BodyText"/>
        <w:spacing w:after="120"/>
        <w:ind w:left="360"/>
        <w:rPr>
          <w:rFonts w:ascii="Calibri" w:hAnsi="Calibri"/>
        </w:rPr>
      </w:pPr>
    </w:p>
    <w:p w:rsidR="00583822" w:rsidRDefault="00583822" w:rsidP="008B2166">
      <w:pPr>
        <w:pStyle w:val="BodyText"/>
        <w:spacing w:after="120"/>
        <w:ind w:left="360"/>
        <w:rPr>
          <w:rFonts w:ascii="Calibri" w:hAnsi="Calibri"/>
        </w:rPr>
      </w:pPr>
    </w:p>
    <w:sectPr w:rsidR="00583822" w:rsidSect="00BC4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48" w:rsidRDefault="006B7E48" w:rsidP="00544652">
      <w:pPr>
        <w:spacing w:after="0" w:line="240" w:lineRule="auto"/>
      </w:pPr>
      <w:r>
        <w:separator/>
      </w:r>
    </w:p>
  </w:endnote>
  <w:endnote w:type="continuationSeparator" w:id="0">
    <w:p w:rsidR="006B7E48" w:rsidRDefault="006B7E48" w:rsidP="0054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CD" w:rsidRDefault="00AA0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52" w:rsidRDefault="00544652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62"/>
      <w:gridCol w:w="3314"/>
      <w:gridCol w:w="2351"/>
      <w:gridCol w:w="1223"/>
    </w:tblGrid>
    <w:tr w:rsidR="00A103EE" w:rsidRPr="000A41B8" w:rsidTr="0063431E">
      <w:tc>
        <w:tcPr>
          <w:tcW w:w="2518" w:type="dxa"/>
        </w:tcPr>
        <w:p w:rsidR="00A103EE" w:rsidRDefault="00A103EE" w:rsidP="0063431E">
          <w:pPr>
            <w:pStyle w:val="Footer"/>
          </w:pPr>
          <w:r w:rsidRPr="000A41B8">
            <w:rPr>
              <w:b/>
            </w:rPr>
            <w:t>Approval Date:</w:t>
          </w:r>
          <w:r w:rsidR="00AA0DCD">
            <w:t xml:space="preserve"> May 2015</w:t>
          </w:r>
        </w:p>
      </w:tc>
      <w:tc>
        <w:tcPr>
          <w:tcW w:w="3402" w:type="dxa"/>
        </w:tcPr>
        <w:p w:rsidR="00A103EE" w:rsidRPr="000A41B8" w:rsidRDefault="00A103EE" w:rsidP="0063431E">
          <w:pPr>
            <w:pStyle w:val="Footer"/>
            <w:rPr>
              <w:b/>
            </w:rPr>
          </w:pPr>
          <w:r w:rsidRPr="000A41B8">
            <w:rPr>
              <w:b/>
            </w:rPr>
            <w:t>Approved by:</w:t>
          </w:r>
          <w:r>
            <w:t xml:space="preserve">  </w:t>
          </w:r>
          <w:r w:rsidRPr="000A41B8">
            <w:t>Board of Directors</w:t>
          </w:r>
        </w:p>
      </w:tc>
      <w:tc>
        <w:tcPr>
          <w:tcW w:w="2410" w:type="dxa"/>
        </w:tcPr>
        <w:p w:rsidR="00A103EE" w:rsidRDefault="00A103EE" w:rsidP="0063431E">
          <w:r w:rsidRPr="000A41B8">
            <w:rPr>
              <w:b/>
            </w:rPr>
            <w:t>Review Due:</w:t>
          </w:r>
          <w:r w:rsidR="00AA0DCD">
            <w:t xml:space="preserve"> </w:t>
          </w:r>
          <w:r w:rsidR="00AA0DCD">
            <w:t>May</w:t>
          </w:r>
          <w:bookmarkStart w:id="0" w:name="_GoBack"/>
          <w:bookmarkEnd w:id="0"/>
          <w:r w:rsidR="00AA0DCD">
            <w:t xml:space="preserve"> 2017</w:t>
          </w:r>
        </w:p>
      </w:tc>
      <w:tc>
        <w:tcPr>
          <w:tcW w:w="1246" w:type="dxa"/>
        </w:tcPr>
        <w:sdt>
          <w:sdtPr>
            <w:rPr>
              <w:b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103EE" w:rsidRPr="000A41B8" w:rsidRDefault="00A103EE" w:rsidP="0063431E">
              <w:pPr>
                <w:jc w:val="right"/>
                <w:rPr>
                  <w:b/>
                </w:rPr>
              </w:pPr>
              <w:r w:rsidRPr="000A41B8">
                <w:rPr>
                  <w:b/>
                </w:rPr>
                <w:t xml:space="preserve">Page </w:t>
              </w:r>
              <w:r w:rsidRPr="000A41B8">
                <w:rPr>
                  <w:b/>
                </w:rPr>
                <w:fldChar w:fldCharType="begin"/>
              </w:r>
              <w:r w:rsidRPr="000A41B8">
                <w:rPr>
                  <w:b/>
                </w:rPr>
                <w:instrText xml:space="preserve"> PAGE </w:instrText>
              </w:r>
              <w:r w:rsidRPr="000A41B8">
                <w:rPr>
                  <w:b/>
                </w:rPr>
                <w:fldChar w:fldCharType="separate"/>
              </w:r>
              <w:r w:rsidR="00AA0DCD">
                <w:rPr>
                  <w:b/>
                  <w:noProof/>
                </w:rPr>
                <w:t>1</w:t>
              </w:r>
              <w:r w:rsidRPr="000A41B8">
                <w:rPr>
                  <w:b/>
                </w:rPr>
                <w:fldChar w:fldCharType="end"/>
              </w:r>
              <w:r w:rsidRPr="000A41B8">
                <w:rPr>
                  <w:b/>
                </w:rPr>
                <w:t xml:space="preserve"> of </w:t>
              </w:r>
              <w:r w:rsidRPr="000A41B8">
                <w:rPr>
                  <w:b/>
                </w:rPr>
                <w:fldChar w:fldCharType="begin"/>
              </w:r>
              <w:r w:rsidRPr="000A41B8">
                <w:rPr>
                  <w:b/>
                </w:rPr>
                <w:instrText xml:space="preserve"> NUMPAGES  </w:instrText>
              </w:r>
              <w:r w:rsidRPr="000A41B8">
                <w:rPr>
                  <w:b/>
                </w:rPr>
                <w:fldChar w:fldCharType="separate"/>
              </w:r>
              <w:r w:rsidR="00AA0DCD">
                <w:rPr>
                  <w:b/>
                  <w:noProof/>
                </w:rPr>
                <w:t>2</w:t>
              </w:r>
              <w:r w:rsidRPr="000A41B8">
                <w:rPr>
                  <w:b/>
                </w:rPr>
                <w:fldChar w:fldCharType="end"/>
              </w:r>
            </w:p>
          </w:sdtContent>
        </w:sdt>
      </w:tc>
    </w:tr>
  </w:tbl>
  <w:p w:rsidR="00544652" w:rsidRDefault="00544652">
    <w:pPr>
      <w:pStyle w:val="Footer"/>
    </w:pPr>
  </w:p>
  <w:p w:rsidR="00544652" w:rsidRDefault="00544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CD" w:rsidRDefault="00AA0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48" w:rsidRDefault="006B7E48" w:rsidP="00544652">
      <w:pPr>
        <w:spacing w:after="0" w:line="240" w:lineRule="auto"/>
      </w:pPr>
      <w:r>
        <w:separator/>
      </w:r>
    </w:p>
  </w:footnote>
  <w:footnote w:type="continuationSeparator" w:id="0">
    <w:p w:rsidR="006B7E48" w:rsidRDefault="006B7E48" w:rsidP="0054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CD" w:rsidRDefault="00AA0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52" w:rsidRDefault="00544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CD" w:rsidRDefault="00AA0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D45"/>
    <w:multiLevelType w:val="hybridMultilevel"/>
    <w:tmpl w:val="6D4EBC64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18825E21"/>
    <w:multiLevelType w:val="hybridMultilevel"/>
    <w:tmpl w:val="38F69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B2453"/>
    <w:multiLevelType w:val="hybridMultilevel"/>
    <w:tmpl w:val="991C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4791"/>
    <w:multiLevelType w:val="hybridMultilevel"/>
    <w:tmpl w:val="3F949818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2E675671"/>
    <w:multiLevelType w:val="hybridMultilevel"/>
    <w:tmpl w:val="0296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20D9"/>
    <w:multiLevelType w:val="hybridMultilevel"/>
    <w:tmpl w:val="B178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CB5"/>
    <w:multiLevelType w:val="hybridMultilevel"/>
    <w:tmpl w:val="93AEE04C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3872314D"/>
    <w:multiLevelType w:val="hybridMultilevel"/>
    <w:tmpl w:val="33D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01EB"/>
    <w:multiLevelType w:val="hybridMultilevel"/>
    <w:tmpl w:val="C6322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70176"/>
    <w:multiLevelType w:val="hybridMultilevel"/>
    <w:tmpl w:val="9B44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868FF"/>
    <w:multiLevelType w:val="hybridMultilevel"/>
    <w:tmpl w:val="BF98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2"/>
    <w:rsid w:val="00034656"/>
    <w:rsid w:val="000B633A"/>
    <w:rsid w:val="00112899"/>
    <w:rsid w:val="00132DE2"/>
    <w:rsid w:val="001577F0"/>
    <w:rsid w:val="001934FB"/>
    <w:rsid w:val="0023424B"/>
    <w:rsid w:val="00245167"/>
    <w:rsid w:val="002712CF"/>
    <w:rsid w:val="00273B46"/>
    <w:rsid w:val="0030295D"/>
    <w:rsid w:val="003111F9"/>
    <w:rsid w:val="003C3FC6"/>
    <w:rsid w:val="00407554"/>
    <w:rsid w:val="00445263"/>
    <w:rsid w:val="00467A76"/>
    <w:rsid w:val="00490987"/>
    <w:rsid w:val="004A201D"/>
    <w:rsid w:val="004D1EAB"/>
    <w:rsid w:val="004F2A45"/>
    <w:rsid w:val="00544652"/>
    <w:rsid w:val="00583822"/>
    <w:rsid w:val="00587442"/>
    <w:rsid w:val="005978E1"/>
    <w:rsid w:val="005C5FCC"/>
    <w:rsid w:val="00603DE2"/>
    <w:rsid w:val="00687645"/>
    <w:rsid w:val="00696CBA"/>
    <w:rsid w:val="006A33C6"/>
    <w:rsid w:val="006B7E48"/>
    <w:rsid w:val="006F5AE3"/>
    <w:rsid w:val="00725070"/>
    <w:rsid w:val="00753018"/>
    <w:rsid w:val="007846CE"/>
    <w:rsid w:val="007C3657"/>
    <w:rsid w:val="007D2198"/>
    <w:rsid w:val="007D3E04"/>
    <w:rsid w:val="007D6449"/>
    <w:rsid w:val="007D65CC"/>
    <w:rsid w:val="007E3142"/>
    <w:rsid w:val="008A0483"/>
    <w:rsid w:val="008B2166"/>
    <w:rsid w:val="008C0474"/>
    <w:rsid w:val="008E7A1F"/>
    <w:rsid w:val="009405F1"/>
    <w:rsid w:val="009474F9"/>
    <w:rsid w:val="00954331"/>
    <w:rsid w:val="009676F3"/>
    <w:rsid w:val="00970D58"/>
    <w:rsid w:val="00983294"/>
    <w:rsid w:val="009B04E3"/>
    <w:rsid w:val="009B4F50"/>
    <w:rsid w:val="009D13FB"/>
    <w:rsid w:val="00A103EE"/>
    <w:rsid w:val="00A22B84"/>
    <w:rsid w:val="00A4036C"/>
    <w:rsid w:val="00A626FD"/>
    <w:rsid w:val="00A879FD"/>
    <w:rsid w:val="00AA0DCD"/>
    <w:rsid w:val="00AD088E"/>
    <w:rsid w:val="00B14CB3"/>
    <w:rsid w:val="00B61255"/>
    <w:rsid w:val="00BB1688"/>
    <w:rsid w:val="00BC4710"/>
    <w:rsid w:val="00BD5EAA"/>
    <w:rsid w:val="00C367FA"/>
    <w:rsid w:val="00C52C40"/>
    <w:rsid w:val="00C749F7"/>
    <w:rsid w:val="00CA416D"/>
    <w:rsid w:val="00DC45C0"/>
    <w:rsid w:val="00EA3C8E"/>
    <w:rsid w:val="00ED447B"/>
    <w:rsid w:val="00F54512"/>
    <w:rsid w:val="00F80881"/>
    <w:rsid w:val="00FB3B01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465F8-599C-4E60-948C-760DFD2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18"/>
  </w:style>
  <w:style w:type="paragraph" w:styleId="Heading3">
    <w:name w:val="heading 3"/>
    <w:basedOn w:val="Normal"/>
    <w:next w:val="Normal"/>
    <w:link w:val="Heading3Char"/>
    <w:qFormat/>
    <w:rsid w:val="005446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52"/>
  </w:style>
  <w:style w:type="paragraph" w:styleId="Footer">
    <w:name w:val="footer"/>
    <w:basedOn w:val="Normal"/>
    <w:link w:val="FooterChar"/>
    <w:uiPriority w:val="99"/>
    <w:unhideWhenUsed/>
    <w:rsid w:val="0054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52"/>
  </w:style>
  <w:style w:type="paragraph" w:styleId="BalloonText">
    <w:name w:val="Balloon Text"/>
    <w:basedOn w:val="Normal"/>
    <w:link w:val="BalloonTextChar"/>
    <w:uiPriority w:val="99"/>
    <w:semiHidden/>
    <w:unhideWhenUsed/>
    <w:rsid w:val="0054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4465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44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2198"/>
    <w:pPr>
      <w:ind w:left="720"/>
      <w:contextualSpacing/>
    </w:pPr>
  </w:style>
  <w:style w:type="paragraph" w:styleId="BodyText">
    <w:name w:val="Body Text"/>
    <w:basedOn w:val="Normal"/>
    <w:link w:val="BodyTextChar"/>
    <w:rsid w:val="009D1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13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3B46"/>
    <w:rPr>
      <w:strike w:val="0"/>
      <w:dstrike w:val="0"/>
      <w:color w:val="1B608A"/>
      <w:u w:val="none"/>
      <w:effect w:val="none"/>
    </w:rPr>
  </w:style>
  <w:style w:type="character" w:customStyle="1" w:styleId="answerbagvibrant">
    <w:name w:val="answerbag_vibrant"/>
    <w:basedOn w:val="DefaultParagraphFont"/>
    <w:rsid w:val="00273B46"/>
  </w:style>
  <w:style w:type="character" w:customStyle="1" w:styleId="ssens">
    <w:name w:val="ssens"/>
    <w:basedOn w:val="DefaultParagraphFont"/>
    <w:rsid w:val="006A33C6"/>
  </w:style>
  <w:style w:type="character" w:customStyle="1" w:styleId="ssens2">
    <w:name w:val="ssens2"/>
    <w:basedOn w:val="DefaultParagraphFont"/>
    <w:rsid w:val="006A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B943-ADEC-45C1-A654-4B6FFA2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AK Peer Support Admin</cp:lastModifiedBy>
  <cp:revision>3</cp:revision>
  <cp:lastPrinted>2010-10-12T22:20:00Z</cp:lastPrinted>
  <dcterms:created xsi:type="dcterms:W3CDTF">2015-07-15T22:34:00Z</dcterms:created>
  <dcterms:modified xsi:type="dcterms:W3CDTF">2015-07-20T18:14:00Z</dcterms:modified>
</cp:coreProperties>
</file>